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560" w:firstLineChars="200"/>
        <w:rPr>
          <w:rFonts w:hint="eastAsia"/>
          <w:sz w:val="28"/>
          <w:szCs w:val="28"/>
        </w:rPr>
      </w:pPr>
      <w:r>
        <w:rPr>
          <w:rFonts w:hint="eastAsia"/>
          <w:sz w:val="28"/>
          <w:szCs w:val="28"/>
        </w:rPr>
        <w:t>梁聪，95届肇庆教育学院计算机应用专业毕业。毕业后一直从事信息技术的市场营销工作，现就职于广东铂亚信息技术有限公司，任职副总经理。公司是国内较早从事人脸识别技术和应用的高新技术企业，在智慧安防、智能交通有成熟的解决方案。2015年与拥有12颗在轨卫星主要从事卫星大数据产业的珠海欧比特宇航科技有限公司并购，2019年12月珠海国资委战略投资欧比特，成为控股股东。</w:t>
      </w:r>
    </w:p>
    <w:p>
      <w:pPr>
        <w:ind w:firstLine="420" w:firstLineChars="200"/>
        <w:rPr>
          <w:rFonts w:hint="eastAsia"/>
          <w:sz w:val="28"/>
          <w:szCs w:val="28"/>
        </w:rPr>
      </w:pPr>
      <w:r>
        <w:drawing>
          <wp:inline distT="0" distB="0" distL="114300" distR="114300">
            <wp:extent cx="5264150" cy="7018655"/>
            <wp:effectExtent l="0" t="0" r="1270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64150" cy="7018655"/>
                    </a:xfrm>
                    <a:prstGeom prst="rect">
                      <a:avLst/>
                    </a:prstGeom>
                    <a:noFill/>
                    <a:ln>
                      <a:noFill/>
                    </a:ln>
                  </pic:spPr>
                </pic:pic>
              </a:graphicData>
            </a:graphic>
          </wp:inline>
        </w:drawing>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QwMzIzOThkMTc2OWM4ZGIwZTdhYWE4NDExZDM4Y2EifQ=="/>
  </w:docVars>
  <w:rsids>
    <w:rsidRoot w:val="51C35ECC"/>
    <w:rsid w:val="07421105"/>
    <w:rsid w:val="51C35ECC"/>
    <w:rsid w:val="7BE004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autoRedefine/>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49</TotalTime>
  <ScaleCrop>false</ScaleCrop>
  <LinksUpToDate>false</LinksUpToDate>
  <CharactersWithSpaces>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2020-11-15T07:54:00Z</dcterms:created>
  <dc:creator>Administrator</dc:creator>
  <cp:lastModifiedBy>WPS_1618316929</cp:lastModifiedBy>
  <dcterms:modified xsi:type="dcterms:W3CDTF">2024-04-18T04:42:12Z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5E94B76AC7F24A318C250B043A8237EF_12</vt:lpwstr>
  </property>
</Properties>
</file>